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2FE4D52A" w:rsidR="00BE2716" w:rsidRPr="00C37B89" w:rsidRDefault="00BE2716" w:rsidP="00C37B89">
      <w:pPr>
        <w:pStyle w:val="Titolocopertina"/>
      </w:pPr>
    </w:p>
    <w:p w14:paraId="78D26F3E" w14:textId="03F2D7F1" w:rsidR="00C37B89" w:rsidRPr="00C37B89" w:rsidRDefault="00C37B89" w:rsidP="00C37B89">
      <w:pPr>
        <w:pStyle w:val="Titolocopertina"/>
      </w:pPr>
    </w:p>
    <w:p w14:paraId="1652E5BC" w14:textId="77777777" w:rsidR="00C37B89" w:rsidRPr="00C37B89" w:rsidRDefault="00C37B89" w:rsidP="00C37B89">
      <w:pPr>
        <w:pStyle w:val="Titolocopertina"/>
      </w:pPr>
    </w:p>
    <w:p w14:paraId="1E242890" w14:textId="77777777" w:rsidR="00636E73" w:rsidRDefault="00AE0C26" w:rsidP="00636E73">
      <w:pPr>
        <w:pStyle w:val="Titolocopertina"/>
      </w:pPr>
      <w:r>
        <w:t>GARA PER</w:t>
      </w:r>
      <w:r w:rsidR="00827C3B" w:rsidRPr="00BF13C1">
        <w:t xml:space="preserve"> </w:t>
      </w:r>
      <w:r w:rsidR="00636E73">
        <w:t xml:space="preserve">LA FORNITURA DI ENERGIA ELETTRICA E DEI SERVIZI CONNESSI PER LE PUBBLICHE AMMINISTRAZIONI  </w:t>
      </w:r>
    </w:p>
    <w:p w14:paraId="6C34F09B" w14:textId="77777777" w:rsidR="00636E73" w:rsidRDefault="00636E73" w:rsidP="00636E73">
      <w:pPr>
        <w:pStyle w:val="Titolocopertina"/>
      </w:pPr>
    </w:p>
    <w:p w14:paraId="450B963B" w14:textId="721293AF" w:rsidR="00827C3B" w:rsidRPr="00BF13C1" w:rsidRDefault="00636E73" w:rsidP="00636E73">
      <w:pPr>
        <w:pStyle w:val="Titolocopertina"/>
      </w:pPr>
      <w:r>
        <w:t>EDIZIONE 18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64B0900F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636E73">
        <w:t>TECNICO-</w:t>
      </w:r>
      <w:r w:rsidRPr="00BF13C1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E120E0" w14:textId="77777777" w:rsidR="00636E73" w:rsidRPr="0089157D" w:rsidRDefault="0044289A" w:rsidP="00636E73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8" w:history="1">
        <w:r w:rsidR="00636E73" w:rsidRPr="0089157D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14:paraId="2DC51C85" w14:textId="5D388F5F"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7777777"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9157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57AA2984" w:rsidR="00735A27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9157D">
        <w:rPr>
          <w:rFonts w:asciiTheme="minorHAnsi" w:hAnsiTheme="minorHAnsi" w:cs="Arial"/>
          <w:bCs/>
          <w:sz w:val="20"/>
          <w:szCs w:val="20"/>
        </w:rPr>
        <w:t>Roma,</w:t>
      </w:r>
      <w:r w:rsidRPr="0089157D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25</w:t>
      </w:r>
      <w:r w:rsidR="008449F2" w:rsidRPr="0089157D">
        <w:rPr>
          <w:rFonts w:asciiTheme="minorHAnsi" w:hAnsiTheme="minorHAnsi" w:cs="Arial"/>
          <w:bCs/>
          <w:sz w:val="20"/>
          <w:szCs w:val="20"/>
        </w:rPr>
        <w:t>/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02</w:t>
      </w:r>
      <w:r w:rsidR="008449F2" w:rsidRPr="0089157D">
        <w:rPr>
          <w:rFonts w:asciiTheme="minorHAnsi" w:hAnsiTheme="minorHAnsi" w:cs="Arial"/>
          <w:bCs/>
          <w:sz w:val="20"/>
          <w:szCs w:val="20"/>
        </w:rPr>
        <w:t>/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2020</w:t>
      </w:r>
    </w:p>
    <w:p w14:paraId="1434046E" w14:textId="77777777" w:rsidR="008449F2" w:rsidRPr="0089157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9157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5719A94F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9D62CE" w:rsidRDefault="00F8539B" w:rsidP="009D62C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9D62C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9D62C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9D62C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89AA64E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636E73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828BF22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9D62CE">
        <w:rPr>
          <w:rFonts w:asciiTheme="minorHAnsi" w:hAnsiTheme="minorHAnsi" w:cs="Arial"/>
          <w:bCs/>
          <w:sz w:val="20"/>
          <w:szCs w:val="20"/>
        </w:rPr>
        <w:t>all’iniziativa “</w:t>
      </w:r>
      <w:r w:rsidR="00636E73" w:rsidRPr="009D62CE">
        <w:rPr>
          <w:rFonts w:asciiTheme="minorHAnsi" w:hAnsiTheme="minorHAnsi" w:cs="Arial"/>
          <w:b/>
          <w:bCs/>
          <w:sz w:val="20"/>
          <w:szCs w:val="20"/>
        </w:rPr>
        <w:t>Energia Elettrica 18</w:t>
      </w:r>
      <w:r w:rsidRPr="009D62CE">
        <w:rPr>
          <w:rFonts w:asciiTheme="minorHAnsi" w:hAnsiTheme="minorHAnsi" w:cs="Arial"/>
          <w:bCs/>
          <w:sz w:val="20"/>
          <w:szCs w:val="20"/>
        </w:rPr>
        <w:t>” Vi preghiam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36E73" w:rsidRPr="00636E73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</w:t>
      </w:r>
      <w:r w:rsidR="00636E73" w:rsidRPr="0089157D">
        <w:rPr>
          <w:rFonts w:asciiTheme="minorHAnsi" w:hAnsiTheme="minorHAnsi" w:cs="Arial"/>
          <w:b/>
          <w:bCs/>
          <w:sz w:val="20"/>
          <w:szCs w:val="20"/>
          <w:u w:val="single"/>
        </w:rPr>
        <w:t>6</w:t>
      </w:r>
      <w:r w:rsidR="00636E73" w:rsidRPr="00636E73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89157D">
        <w:rPr>
          <w:rFonts w:asciiTheme="minorHAnsi" w:hAnsiTheme="minorHAnsi" w:cs="Arial"/>
          <w:b/>
          <w:bCs/>
          <w:sz w:val="20"/>
          <w:szCs w:val="20"/>
          <w:u w:val="single"/>
        </w:rPr>
        <w:t>marzo</w:t>
      </w:r>
      <w:r w:rsidR="00636E73" w:rsidRPr="00636E73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2020</w:t>
      </w:r>
      <w:r w:rsidR="00636E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636E73" w:rsidRPr="0096082D">
          <w:rPr>
            <w:rStyle w:val="Collegamentoipertestuale"/>
            <w:rFonts w:asciiTheme="minorHAnsi" w:hAnsiTheme="minorHAnsi"/>
          </w:rPr>
          <w:softHyphen/>
        </w:r>
        <w:r w:rsidR="00636E73" w:rsidRPr="0096082D">
          <w:rPr>
            <w:rStyle w:val="Collegamentoipertestuale"/>
            <w:rFonts w:asciiTheme="minorHAnsi" w:hAnsiTheme="minorHAnsi"/>
          </w:rPr>
          <w:softHyphen/>
        </w:r>
        <w:r w:rsidR="00636E73" w:rsidRPr="0096082D">
          <w:rPr>
            <w:rStyle w:val="Collegamentoipertestuale"/>
            <w:rFonts w:asciiTheme="minorHAnsi" w:hAnsiTheme="minorHAnsi"/>
          </w:rPr>
          <w:softHyphen/>
        </w:r>
        <w:r w:rsidR="00636E73" w:rsidRPr="0096082D">
          <w:rPr>
            <w:rStyle w:val="Collegamentoipertestuale"/>
          </w:rPr>
          <w:t xml:space="preserve"> </w:t>
        </w:r>
        <w:r w:rsidR="00636E73" w:rsidRPr="0096082D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30FC6C12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</w:t>
      </w:r>
      <w:r w:rsidR="00636E73">
        <w:rPr>
          <w:rFonts w:asciiTheme="minorHAnsi" w:hAnsiTheme="minorHAnsi" w:cs="Arial"/>
          <w:bCs/>
          <w:sz w:val="20"/>
          <w:szCs w:val="20"/>
        </w:rPr>
        <w:t>ecifiche quotazioni afferenti l’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096A244F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S.p.A.</w:t>
      </w:r>
      <w:r w:rsidR="00126F5C" w:rsidRPr="0089157D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89157D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 xml:space="preserve">da parte 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N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ostra, le informazioni per una più compiuta conoscenza del mercato</w:t>
      </w:r>
      <w:r w:rsidR="004A4EB1" w:rsidRPr="0089157D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1E5BA371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1BF48A27" w14:textId="77777777" w:rsidR="00636E73" w:rsidRPr="00636E73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>Consip intende bandire una gara d’appalto per la fornitura di energia elettrica e dei servizi connessi per le Pubbliche Amministrazioni, suddivisa in lotti geografici. A seguito della gara sarà stipulata una convenzione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0F64B30B" w14:textId="545C7F86" w:rsidR="00636E73" w:rsidRPr="003177B8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Ciascuna convenzione avrà un periodo indicativo di adesione di 12 mesi, eventualmente prorogabili. I singoli contratti di fornitura, attivati dalle Pubbliche Amministrazioni mediante l’adesione alla convenzione, avranno una 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durata di 12/24 mesi. Per garantire una minore esposizione al rischio, dare maggiore stimolo alla concorrenza e </w:t>
      </w:r>
      <w:r w:rsidRPr="003177B8">
        <w:rPr>
          <w:rFonts w:asciiTheme="minorHAnsi" w:hAnsiTheme="minorHAnsi" w:cs="Arial"/>
          <w:bCs/>
          <w:sz w:val="20"/>
          <w:szCs w:val="20"/>
        </w:rPr>
        <w:t>agevolare la presentazione di offerte competitive, si pensa di suddividere il quantitativo annuo messo a gara</w:t>
      </w:r>
      <w:r w:rsidR="0089157D" w:rsidRPr="003177B8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3177B8">
        <w:rPr>
          <w:rFonts w:asciiTheme="minorHAnsi" w:hAnsiTheme="minorHAnsi" w:cs="Arial"/>
          <w:bCs/>
          <w:sz w:val="20"/>
          <w:szCs w:val="20"/>
        </w:rPr>
        <w:t>(</w:t>
      </w:r>
      <w:r w:rsidR="003177B8" w:rsidRPr="003177B8">
        <w:rPr>
          <w:rFonts w:asciiTheme="minorHAnsi" w:hAnsiTheme="minorHAnsi" w:cs="Arial"/>
          <w:bCs/>
          <w:sz w:val="20"/>
          <w:szCs w:val="20"/>
        </w:rPr>
        <w:t xml:space="preserve">comprensivo di eventuali estensioni si stima sia </w:t>
      </w:r>
      <w:r w:rsidR="00B64F2F" w:rsidRPr="003177B8">
        <w:rPr>
          <w:rFonts w:asciiTheme="minorHAnsi" w:hAnsiTheme="minorHAnsi" w:cs="Arial"/>
          <w:bCs/>
          <w:sz w:val="20"/>
          <w:szCs w:val="20"/>
        </w:rPr>
        <w:t>p</w:t>
      </w:r>
      <w:r w:rsidR="003177B8" w:rsidRPr="003177B8">
        <w:rPr>
          <w:rFonts w:asciiTheme="minorHAnsi" w:hAnsiTheme="minorHAnsi" w:cs="Arial"/>
          <w:bCs/>
          <w:sz w:val="20"/>
          <w:szCs w:val="20"/>
        </w:rPr>
        <w:t>ari a circa il 90</w:t>
      </w:r>
      <w:r w:rsidRPr="003177B8">
        <w:rPr>
          <w:rFonts w:asciiTheme="minorHAnsi" w:hAnsiTheme="minorHAnsi" w:cs="Arial"/>
          <w:bCs/>
          <w:sz w:val="20"/>
          <w:szCs w:val="20"/>
        </w:rPr>
        <w:t>% del mercato potenziale della P</w:t>
      </w:r>
      <w:r w:rsidR="00B64F2F" w:rsidRPr="003177B8">
        <w:rPr>
          <w:rFonts w:asciiTheme="minorHAnsi" w:hAnsiTheme="minorHAnsi" w:cs="Arial"/>
          <w:bCs/>
          <w:sz w:val="20"/>
          <w:szCs w:val="20"/>
        </w:rPr>
        <w:t>ubblic</w:t>
      </w:r>
      <w:r w:rsidR="003177B8" w:rsidRPr="003177B8">
        <w:rPr>
          <w:rFonts w:asciiTheme="minorHAnsi" w:hAnsiTheme="minorHAnsi" w:cs="Arial"/>
          <w:bCs/>
          <w:sz w:val="20"/>
          <w:szCs w:val="20"/>
        </w:rPr>
        <w:t>a Amministrazione, cioè 16</w:t>
      </w:r>
      <w:r w:rsidRPr="003177B8">
        <w:rPr>
          <w:rFonts w:asciiTheme="minorHAnsi" w:hAnsiTheme="minorHAnsi" w:cs="Arial"/>
          <w:bCs/>
          <w:sz w:val="20"/>
          <w:szCs w:val="20"/>
        </w:rPr>
        <w:t>,</w:t>
      </w:r>
      <w:r w:rsidR="003177B8" w:rsidRPr="003177B8">
        <w:rPr>
          <w:rFonts w:asciiTheme="minorHAnsi" w:hAnsiTheme="minorHAnsi" w:cs="Arial"/>
          <w:bCs/>
          <w:sz w:val="20"/>
          <w:szCs w:val="20"/>
        </w:rPr>
        <w:t>5</w:t>
      </w:r>
      <w:r w:rsidRPr="003177B8">
        <w:rPr>
          <w:rFonts w:asciiTheme="minorHAnsi" w:hAnsiTheme="minorHAnsi" w:cs="Arial"/>
          <w:bCs/>
          <w:sz w:val="20"/>
          <w:szCs w:val="20"/>
        </w:rPr>
        <w:t>-1</w:t>
      </w:r>
      <w:r w:rsidR="003177B8" w:rsidRPr="003177B8">
        <w:rPr>
          <w:rFonts w:asciiTheme="minorHAnsi" w:hAnsiTheme="minorHAnsi" w:cs="Arial"/>
          <w:bCs/>
          <w:sz w:val="20"/>
          <w:szCs w:val="20"/>
        </w:rPr>
        <w:t>8</w:t>
      </w:r>
      <w:r w:rsidRPr="003177B8">
        <w:rPr>
          <w:rFonts w:asciiTheme="minorHAnsi" w:hAnsiTheme="minorHAnsi" w:cs="Arial"/>
          <w:bCs/>
          <w:sz w:val="20"/>
          <w:szCs w:val="20"/>
        </w:rPr>
        <w:t xml:space="preserve">,0 </w:t>
      </w:r>
      <w:proofErr w:type="spellStart"/>
      <w:r w:rsidRPr="003177B8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3177B8">
        <w:rPr>
          <w:rFonts w:asciiTheme="minorHAnsi" w:hAnsiTheme="minorHAnsi" w:cs="Arial"/>
          <w:bCs/>
          <w:sz w:val="20"/>
          <w:szCs w:val="20"/>
        </w:rPr>
        <w:t xml:space="preserve">), in lotti geografici del valore singolo compreso nel </w:t>
      </w:r>
      <w:proofErr w:type="spellStart"/>
      <w:r w:rsidRPr="003177B8"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 w:rsidRPr="003177B8">
        <w:rPr>
          <w:rFonts w:asciiTheme="minorHAnsi" w:hAnsiTheme="minorHAnsi" w:cs="Arial"/>
          <w:bCs/>
          <w:sz w:val="20"/>
          <w:szCs w:val="20"/>
        </w:rPr>
        <w:t xml:space="preserve"> 2</w:t>
      </w:r>
      <w:r w:rsidR="00B64F2F" w:rsidRPr="003177B8">
        <w:rPr>
          <w:rFonts w:asciiTheme="minorHAnsi" w:hAnsiTheme="minorHAnsi" w:cs="Arial"/>
          <w:bCs/>
          <w:sz w:val="20"/>
          <w:szCs w:val="20"/>
        </w:rPr>
        <w:t>5</w:t>
      </w:r>
      <w:r w:rsidRPr="003177B8">
        <w:rPr>
          <w:rFonts w:asciiTheme="minorHAnsi" w:hAnsiTheme="minorHAnsi" w:cs="Arial"/>
          <w:bCs/>
          <w:sz w:val="20"/>
          <w:szCs w:val="20"/>
        </w:rPr>
        <w:t xml:space="preserve">0 – </w:t>
      </w:r>
      <w:r w:rsidR="00B64F2F" w:rsidRPr="003177B8">
        <w:rPr>
          <w:rFonts w:asciiTheme="minorHAnsi" w:hAnsiTheme="minorHAnsi" w:cs="Arial"/>
          <w:bCs/>
          <w:sz w:val="20"/>
          <w:szCs w:val="20"/>
        </w:rPr>
        <w:t>1</w:t>
      </w:r>
      <w:r w:rsidR="00096F9B" w:rsidRPr="003177B8">
        <w:rPr>
          <w:rFonts w:asciiTheme="minorHAnsi" w:hAnsiTheme="minorHAnsi" w:cs="Arial"/>
          <w:bCs/>
          <w:sz w:val="20"/>
          <w:szCs w:val="20"/>
        </w:rPr>
        <w:t>.</w:t>
      </w:r>
      <w:r w:rsidR="00B64F2F" w:rsidRPr="003177B8">
        <w:rPr>
          <w:rFonts w:asciiTheme="minorHAnsi" w:hAnsiTheme="minorHAnsi" w:cs="Arial"/>
          <w:bCs/>
          <w:sz w:val="20"/>
          <w:szCs w:val="20"/>
        </w:rPr>
        <w:t>0</w:t>
      </w:r>
      <w:r w:rsidRPr="003177B8">
        <w:rPr>
          <w:rFonts w:asciiTheme="minorHAnsi" w:hAnsiTheme="minorHAnsi" w:cs="Arial"/>
          <w:bCs/>
          <w:sz w:val="20"/>
          <w:szCs w:val="20"/>
        </w:rPr>
        <w:t xml:space="preserve">00 </w:t>
      </w:r>
      <w:proofErr w:type="spellStart"/>
      <w:r w:rsidRPr="003177B8">
        <w:rPr>
          <w:rFonts w:asciiTheme="minorHAnsi" w:hAnsiTheme="minorHAnsi" w:cs="Arial"/>
          <w:bCs/>
          <w:sz w:val="20"/>
          <w:szCs w:val="20"/>
        </w:rPr>
        <w:t>GWh</w:t>
      </w:r>
      <w:proofErr w:type="spellEnd"/>
      <w:r w:rsidRPr="003177B8">
        <w:rPr>
          <w:rFonts w:asciiTheme="minorHAnsi" w:hAnsiTheme="minorHAnsi" w:cs="Arial"/>
          <w:bCs/>
          <w:sz w:val="20"/>
          <w:szCs w:val="20"/>
        </w:rPr>
        <w:t>/anno. Si precisa che:</w:t>
      </w:r>
    </w:p>
    <w:p w14:paraId="25355B4E" w14:textId="67A7D9D8" w:rsidR="00636E73" w:rsidRPr="003177B8" w:rsidRDefault="00636E73" w:rsidP="00B64F2F">
      <w:pPr>
        <w:pStyle w:val="Paragrafoelenco"/>
        <w:numPr>
          <w:ilvl w:val="0"/>
          <w:numId w:val="44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3177B8">
        <w:rPr>
          <w:rFonts w:asciiTheme="minorHAnsi" w:hAnsiTheme="minorHAnsi" w:cs="Arial"/>
          <w:bCs/>
          <w:sz w:val="20"/>
          <w:szCs w:val="20"/>
        </w:rPr>
        <w:t>il quantitativo massimo non è garantito;</w:t>
      </w:r>
    </w:p>
    <w:p w14:paraId="0AFC7C8E" w14:textId="2DD76F98" w:rsidR="00636E73" w:rsidRPr="00B64F2F" w:rsidRDefault="00636E73" w:rsidP="00B64F2F">
      <w:pPr>
        <w:pStyle w:val="Paragrafoelenco"/>
        <w:numPr>
          <w:ilvl w:val="0"/>
          <w:numId w:val="44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geografici, né quantitativi, né qualitativi.</w:t>
      </w:r>
    </w:p>
    <w:p w14:paraId="269A802A" w14:textId="5974226E" w:rsidR="005A258D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fabbisogno di energia elettrica riconducibile al comparto della Pubblica Amministrazione è di circa </w:t>
      </w:r>
      <w:r w:rsidR="00B64F2F" w:rsidRPr="00B64F2F">
        <w:rPr>
          <w:rFonts w:asciiTheme="minorHAnsi" w:hAnsiTheme="minorHAnsi" w:cs="Arial"/>
          <w:bCs/>
          <w:sz w:val="20"/>
          <w:szCs w:val="20"/>
        </w:rPr>
        <w:t>19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B64F2F">
        <w:rPr>
          <w:rFonts w:asciiTheme="minorHAnsi" w:hAnsiTheme="minorHAnsi" w:cs="Arial"/>
          <w:bCs/>
          <w:sz w:val="20"/>
          <w:szCs w:val="20"/>
        </w:rPr>
        <w:t>/anno. Ulteriori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dati relativi ai consumi della PA in generale, e a quelle utilizzatrici delle convenzioni Consip, sono disponibili nella sezione Documentazione riservata all’iniziativa Energia Elettrica 1</w:t>
      </w:r>
      <w:r>
        <w:rPr>
          <w:rFonts w:asciiTheme="minorHAnsi" w:hAnsiTheme="minorHAnsi" w:cs="Arial"/>
          <w:bCs/>
          <w:sz w:val="20"/>
          <w:szCs w:val="20"/>
        </w:rPr>
        <w:t>7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sul portale www.acquistinretepa.it (file Excel Dati generali sui consumi elettrici PA 201</w:t>
      </w:r>
      <w:r>
        <w:rPr>
          <w:rFonts w:asciiTheme="minorHAnsi" w:hAnsiTheme="minorHAnsi" w:cs="Arial"/>
          <w:bCs/>
          <w:sz w:val="20"/>
          <w:szCs w:val="20"/>
        </w:rPr>
        <w:t>8</w:t>
      </w:r>
      <w:r w:rsidRPr="00636E73">
        <w:rPr>
          <w:rFonts w:asciiTheme="minorHAnsi" w:hAnsiTheme="minorHAnsi" w:cs="Arial"/>
          <w:bCs/>
          <w:sz w:val="20"/>
          <w:szCs w:val="20"/>
        </w:rPr>
        <w:t>).</w:t>
      </w:r>
    </w:p>
    <w:p w14:paraId="4BECA79C" w14:textId="2478B654" w:rsidR="00636E73" w:rsidRDefault="00636E73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F78211" w14:textId="16C689BC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9EA512" w14:textId="5148CD12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EFFBB6" w14:textId="738F77F2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F97A3F" w14:textId="69553044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4298F3A" w14:textId="07A3C905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638435" w14:textId="2E85F9B7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C9B420" w14:textId="0740C9EB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8EF29E" w14:textId="17DECC66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541156" w14:textId="4C7539CC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3713B0" w14:textId="20069409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69DD69" w14:textId="77777777" w:rsidR="00B64F2F" w:rsidRPr="00636E73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7603A206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Domande </w:t>
      </w:r>
    </w:p>
    <w:p w14:paraId="7A5DF9BA" w14:textId="17747429" w:rsidR="00636E73" w:rsidRDefault="00636E73" w:rsidP="00636E73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>Si prevede di mettere a gara la fornitura di energia elettrica e dei servizi connessi per le Pubbliche Amministrazioni sulla base di differenti lotti geografici. Sarebbe interessato a partecipare alla gara in oggetto? In caso negativo quali sono le principali motivazioni?</w:t>
      </w:r>
    </w:p>
    <w:p w14:paraId="699915B2" w14:textId="77777777" w:rsidR="00636E73" w:rsidRPr="00636E73" w:rsidRDefault="00636E73" w:rsidP="00636E73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6E73" w14:paraId="5DEE66CD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18ECA2A" w14:textId="77777777" w:rsidR="00636E73" w:rsidRDefault="00636E73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AC5F6C" w14:textId="77777777" w:rsidR="00182F85" w:rsidRPr="00182F85" w:rsidRDefault="00182F85" w:rsidP="00182F85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7A398B92" w:rsidR="00C920CC" w:rsidRDefault="00D2474C" w:rsidP="00636E73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fatturato sostenuto dall’azienda per la fornitura di</w:t>
      </w:r>
      <w:r w:rsidR="00636E73">
        <w:rPr>
          <w:rFonts w:asciiTheme="minorHAnsi" w:hAnsiTheme="minorHAnsi" w:cs="Arial"/>
          <w:bCs/>
          <w:sz w:val="20"/>
          <w:szCs w:val="20"/>
        </w:rPr>
        <w:t xml:space="preserve"> energia elettrica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636E73" w:rsidRPr="00636E73">
        <w:rPr>
          <w:rFonts w:asciiTheme="minorHAnsi" w:hAnsiTheme="minorHAnsi" w:cs="Arial"/>
          <w:bCs/>
          <w:sz w:val="20"/>
          <w:szCs w:val="20"/>
        </w:rPr>
        <w:t>relativo agli ultimi tre esercizi finanziari approvati alla data di pubblicazione del presente Documento di consultazione del mercato.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485E73B" w14:textId="77777777" w:rsidR="00636E73" w:rsidRPr="00636E73" w:rsidRDefault="00636E73" w:rsidP="00636E7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In quale percentuale il fatturato medio annuo per contratti con oggetto analogo a quello della presente iniziativa deriva da contratti stipulati con la PA?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6E73" w14:paraId="0C7BA244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5BBB0D6" w14:textId="77777777" w:rsidR="00636E73" w:rsidRDefault="00636E73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335919B" w14:textId="77777777" w:rsidR="00636E73" w:rsidRDefault="00636E73" w:rsidP="00A631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473AC5" w14:textId="5C9A1098" w:rsidR="002B7ED1" w:rsidRDefault="002B7ED1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  <w:r w:rsidR="009D62CE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7464E344" w:rsidR="009D4460" w:rsidRPr="00EF0D43" w:rsidRDefault="00D2474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636E73">
        <w:rPr>
          <w:rFonts w:asciiTheme="minorHAnsi" w:hAnsiTheme="minorHAnsi" w:cs="Arial"/>
          <w:bCs/>
          <w:sz w:val="20"/>
          <w:szCs w:val="20"/>
        </w:rPr>
        <w:t>di energia elettrica e dei servizi connessi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sulla base di differenti lotti geografici</w:t>
      </w:r>
      <w:r w:rsidR="00C920C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. Quali sono le aree 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del territorio italiano </w:t>
      </w:r>
      <w:r w:rsidR="0089157D">
        <w:rPr>
          <w:rFonts w:asciiTheme="minorHAnsi" w:hAnsiTheme="minorHAnsi" w:cs="Arial"/>
          <w:bCs/>
          <w:sz w:val="20"/>
          <w:szCs w:val="20"/>
        </w:rPr>
        <w:t>di vostro interesse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404C7B" w14:textId="42CA16CB" w:rsidR="00636E73" w:rsidRPr="00636E73" w:rsidRDefault="00636E73" w:rsidP="00636E7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>Con riferimento al Bando</w:t>
      </w:r>
      <w:r>
        <w:rPr>
          <w:rFonts w:asciiTheme="minorHAnsi" w:hAnsiTheme="minorHAnsi" w:cs="Arial"/>
          <w:bCs/>
          <w:sz w:val="20"/>
          <w:szCs w:val="20"/>
        </w:rPr>
        <w:t xml:space="preserve"> Consip Energia Elettrica ed. 17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(www.acquistiretepa.it &gt; Iniziative &gt; Convenzioni &gt; Energia Elettrica 1</w:t>
      </w:r>
      <w:r>
        <w:rPr>
          <w:rFonts w:asciiTheme="minorHAnsi" w:hAnsiTheme="minorHAnsi" w:cs="Arial"/>
          <w:bCs/>
          <w:sz w:val="20"/>
          <w:szCs w:val="20"/>
        </w:rPr>
        <w:t>7</w:t>
      </w:r>
      <w:r w:rsidRPr="00636E73">
        <w:rPr>
          <w:rFonts w:asciiTheme="minorHAnsi" w:hAnsiTheme="minorHAnsi" w:cs="Arial"/>
          <w:bCs/>
          <w:sz w:val="20"/>
          <w:szCs w:val="20"/>
        </w:rPr>
        <w:t>), ad oggi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Pr="00636E73" w:rsidRDefault="00B64E33" w:rsidP="00A631B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01DD92" w14:textId="7D8ACDE4" w:rsidR="00636E73" w:rsidRPr="00B64F2F" w:rsidRDefault="00636E73" w:rsidP="00B64F2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Per la prossima edizione, ritenete ancora valido/attuale il sistema di </w:t>
      </w:r>
      <w:proofErr w:type="spellStart"/>
      <w:r w:rsidRPr="009D62CE">
        <w:rPr>
          <w:rFonts w:asciiTheme="minorHAnsi" w:hAnsiTheme="minorHAnsi" w:cs="Arial"/>
          <w:bCs/>
          <w:i/>
          <w:sz w:val="20"/>
          <w:szCs w:val="20"/>
        </w:rPr>
        <w:t>pricing</w:t>
      </w:r>
      <w:proofErr w:type="spellEnd"/>
      <w:r w:rsidRPr="009D62CE">
        <w:rPr>
          <w:rFonts w:asciiTheme="minorHAnsi" w:hAnsiTheme="minorHAnsi" w:cs="Arial"/>
          <w:bCs/>
          <w:sz w:val="20"/>
          <w:szCs w:val="20"/>
        </w:rPr>
        <w:t xml:space="preserve"> adottato nella precedente edizione della gara (in sintesi fornitura a </w:t>
      </w:r>
      <w:r w:rsidRPr="009D62CE">
        <w:rPr>
          <w:rFonts w:asciiTheme="minorHAnsi" w:hAnsiTheme="minorHAnsi" w:cs="Arial"/>
          <w:bCs/>
          <w:sz w:val="20"/>
          <w:szCs w:val="20"/>
          <w:u w:val="single"/>
        </w:rPr>
        <w:t>prezzo variabile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: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Prezzo medio di acquisto per fasce orarie del MPE-MGP + spread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e forniture a </w:t>
      </w:r>
      <w:r w:rsidRPr="009D62CE">
        <w:rPr>
          <w:rFonts w:asciiTheme="minorHAnsi" w:hAnsiTheme="minorHAnsi" w:cs="Arial"/>
          <w:bCs/>
          <w:sz w:val="20"/>
          <w:szCs w:val="20"/>
          <w:u w:val="single"/>
        </w:rPr>
        <w:t>prezzo fisso (12 e 18 mesi)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: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Prodotto Fisso (12 e 18 mesi) + spread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[vedi definizione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Prodotto Fisso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sul Capitolato Tecnico EE17])? </w:t>
      </w:r>
      <w:r w:rsidR="00B64F2F">
        <w:rPr>
          <w:rFonts w:asciiTheme="minorHAnsi" w:hAnsiTheme="minorHAnsi" w:cs="Arial"/>
          <w:bCs/>
          <w:sz w:val="20"/>
          <w:szCs w:val="20"/>
        </w:rPr>
        <w:br/>
      </w:r>
      <w:r w:rsidR="00A631BA" w:rsidRPr="00B64F2F">
        <w:rPr>
          <w:rFonts w:asciiTheme="minorHAnsi" w:hAnsiTheme="minorHAnsi" w:cs="Arial"/>
          <w:bCs/>
          <w:sz w:val="20"/>
          <w:szCs w:val="20"/>
        </w:rPr>
        <w:t xml:space="preserve">Con riferimento alla sola fornitura a prezzo variabile </w:t>
      </w:r>
      <w:r w:rsidR="009D62CE" w:rsidRPr="00B64F2F">
        <w:rPr>
          <w:rFonts w:asciiTheme="minorHAnsi" w:hAnsiTheme="minorHAnsi" w:cs="Arial"/>
          <w:bCs/>
          <w:sz w:val="20"/>
          <w:szCs w:val="20"/>
        </w:rPr>
        <w:t xml:space="preserve">ritenete ancora valida la possibilità di offrire lo stesso </w:t>
      </w:r>
      <w:r w:rsidR="009D62CE" w:rsidRPr="00B64F2F">
        <w:rPr>
          <w:rFonts w:asciiTheme="minorHAnsi" w:hAnsiTheme="minorHAnsi" w:cs="Arial"/>
          <w:bCs/>
          <w:i/>
          <w:sz w:val="20"/>
          <w:szCs w:val="20"/>
        </w:rPr>
        <w:t>spread</w:t>
      </w:r>
      <w:r w:rsidR="009D62CE" w:rsidRPr="00B64F2F">
        <w:rPr>
          <w:rFonts w:asciiTheme="minorHAnsi" w:hAnsiTheme="minorHAnsi" w:cs="Arial"/>
          <w:bCs/>
          <w:sz w:val="20"/>
          <w:szCs w:val="20"/>
        </w:rPr>
        <w:t xml:space="preserve"> per tutte le fasce orarie (da applicare per F1, F2, F3 al </w:t>
      </w:r>
      <w:r w:rsidR="009D62CE" w:rsidRPr="00B64F2F">
        <w:rPr>
          <w:rFonts w:asciiTheme="minorHAnsi" w:hAnsiTheme="minorHAnsi" w:cs="Arial"/>
          <w:bCs/>
          <w:i/>
          <w:sz w:val="20"/>
          <w:szCs w:val="20"/>
        </w:rPr>
        <w:t>Prezzo medio di acquisto per fasce orarie</w:t>
      </w:r>
      <w:r w:rsidR="009D62CE" w:rsidRPr="00B64F2F">
        <w:rPr>
          <w:rFonts w:asciiTheme="minorHAnsi" w:hAnsiTheme="minorHAnsi" w:cs="Arial"/>
          <w:bCs/>
          <w:sz w:val="20"/>
          <w:szCs w:val="20"/>
        </w:rPr>
        <w:t xml:space="preserve"> del MPE-MGP e per F0 al </w:t>
      </w:r>
      <w:proofErr w:type="spellStart"/>
      <w:r w:rsidR="009D62CE" w:rsidRPr="00B64F2F">
        <w:rPr>
          <w:rFonts w:asciiTheme="minorHAnsi" w:hAnsiTheme="minorHAnsi" w:cs="Arial"/>
          <w:bCs/>
          <w:sz w:val="20"/>
          <w:szCs w:val="20"/>
        </w:rPr>
        <w:t>PUN</w:t>
      </w:r>
      <w:r w:rsidR="009D62CE" w:rsidRPr="00B64F2F">
        <w:rPr>
          <w:rFonts w:asciiTheme="minorHAnsi" w:hAnsiTheme="minorHAnsi" w:cs="Arial"/>
          <w:bCs/>
          <w:i/>
          <w:sz w:val="20"/>
          <w:szCs w:val="20"/>
        </w:rPr>
        <w:t>Index</w:t>
      </w:r>
      <w:proofErr w:type="spellEnd"/>
      <w:r w:rsidR="009D62CE"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9D62CE" w:rsidRPr="00B64F2F">
        <w:rPr>
          <w:rFonts w:asciiTheme="minorHAnsi" w:hAnsiTheme="minorHAnsi" w:cs="Arial"/>
          <w:bCs/>
          <w:sz w:val="20"/>
          <w:szCs w:val="20"/>
        </w:rPr>
        <w:t>(la media aritmetica mensile dei valori orari del PUN)?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631BA" w14:paraId="62A80238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58AB15" w14:textId="77777777" w:rsidR="00A631BA" w:rsidRDefault="00A631BA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A904434" w14:textId="77777777" w:rsidR="00A631BA" w:rsidRDefault="00A631BA" w:rsidP="00A631B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824CBA3" w14:textId="77777777" w:rsidR="00B64F2F" w:rsidRDefault="00A631BA" w:rsidP="00A631BA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631BA">
        <w:rPr>
          <w:rFonts w:asciiTheme="minorHAnsi" w:hAnsiTheme="minorHAnsi" w:cs="Arial"/>
          <w:bCs/>
          <w:sz w:val="20"/>
          <w:szCs w:val="20"/>
        </w:rPr>
        <w:t xml:space="preserve">Per la prossima edizione della gara e con riferimento alle forniture a prezzo fisso </w:t>
      </w:r>
      <w:r>
        <w:rPr>
          <w:rFonts w:asciiTheme="minorHAnsi" w:hAnsiTheme="minorHAnsi" w:cs="Arial"/>
          <w:bCs/>
          <w:sz w:val="20"/>
          <w:szCs w:val="20"/>
        </w:rPr>
        <w:t>(</w:t>
      </w:r>
      <w:r w:rsidRPr="00A631BA">
        <w:rPr>
          <w:rFonts w:asciiTheme="minorHAnsi" w:hAnsiTheme="minorHAnsi" w:cs="Arial"/>
          <w:bCs/>
          <w:sz w:val="20"/>
          <w:szCs w:val="20"/>
        </w:rPr>
        <w:t>a 12 mesi</w:t>
      </w:r>
      <w:r>
        <w:rPr>
          <w:rFonts w:asciiTheme="minorHAnsi" w:hAnsiTheme="minorHAnsi" w:cs="Arial"/>
          <w:bCs/>
          <w:sz w:val="20"/>
          <w:szCs w:val="20"/>
        </w:rPr>
        <w:t xml:space="preserve"> e a 18 mesi)</w:t>
      </w:r>
      <w:r w:rsidRPr="00A631BA">
        <w:rPr>
          <w:rFonts w:asciiTheme="minorHAnsi" w:hAnsiTheme="minorHAnsi" w:cs="Arial"/>
          <w:bCs/>
          <w:sz w:val="20"/>
          <w:szCs w:val="20"/>
        </w:rPr>
        <w:t xml:space="preserve"> ritenete possibile offrire lo stesso </w:t>
      </w:r>
      <w:r w:rsidRPr="00A631BA">
        <w:rPr>
          <w:rFonts w:asciiTheme="minorHAnsi" w:hAnsiTheme="minorHAnsi" w:cs="Arial"/>
          <w:bCs/>
          <w:i/>
          <w:sz w:val="20"/>
          <w:szCs w:val="20"/>
        </w:rPr>
        <w:t>spread</w:t>
      </w:r>
      <w:r w:rsidRPr="00A631BA">
        <w:rPr>
          <w:rFonts w:asciiTheme="minorHAnsi" w:hAnsiTheme="minorHAnsi" w:cs="Arial"/>
          <w:bCs/>
          <w:sz w:val="20"/>
          <w:szCs w:val="20"/>
        </w:rPr>
        <w:t xml:space="preserve">, per tutte le fasce orarie, da applicare </w:t>
      </w:r>
      <w:r>
        <w:rPr>
          <w:rFonts w:asciiTheme="minorHAnsi" w:hAnsiTheme="minorHAnsi" w:cs="Arial"/>
          <w:bCs/>
          <w:sz w:val="20"/>
          <w:szCs w:val="20"/>
        </w:rPr>
        <w:t>sia</w:t>
      </w:r>
      <w:r w:rsidR="00B64F2F">
        <w:rPr>
          <w:rFonts w:asciiTheme="minorHAnsi" w:hAnsiTheme="minorHAnsi" w:cs="Arial"/>
          <w:bCs/>
          <w:sz w:val="20"/>
          <w:szCs w:val="20"/>
        </w:rPr>
        <w:t>:</w:t>
      </w:r>
    </w:p>
    <w:p w14:paraId="63FBEBC5" w14:textId="77777777" w:rsidR="00B64F2F" w:rsidRPr="00B64F2F" w:rsidRDefault="00A631BA" w:rsidP="00B64F2F">
      <w:pPr>
        <w:pStyle w:val="Paragrafoelenco"/>
        <w:numPr>
          <w:ilvl w:val="0"/>
          <w:numId w:val="45"/>
        </w:numPr>
        <w:spacing w:after="120"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al “</w:t>
      </w:r>
      <w:r w:rsidRPr="00B64F2F">
        <w:rPr>
          <w:rFonts w:asciiTheme="minorHAnsi" w:hAnsiTheme="minorHAnsi" w:cs="Arial"/>
          <w:bCs/>
          <w:sz w:val="20"/>
          <w:szCs w:val="20"/>
          <w:u w:val="single"/>
        </w:rPr>
        <w:t>Prodotto Fisso a 12 mesi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” (dato dal valore medio delle quotazioni giornaliere disponibili del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Settlement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Price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 dell’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Italian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Baseload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Quarter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Futures</w:t>
      </w:r>
      <w:proofErr w:type="spellEnd"/>
      <w:r w:rsidRPr="00B64F2F">
        <w:rPr>
          <w:rFonts w:asciiTheme="minorHAnsi" w:hAnsiTheme="minorHAnsi" w:cs="Arial"/>
          <w:bCs/>
          <w:sz w:val="20"/>
          <w:szCs w:val="20"/>
        </w:rPr>
        <w:t xml:space="preserve"> relative ai 4 </w:t>
      </w:r>
      <w:proofErr w:type="spellStart"/>
      <w:r w:rsidRPr="00B64F2F">
        <w:rPr>
          <w:rFonts w:asciiTheme="minorHAnsi" w:hAnsiTheme="minorHAnsi" w:cs="Arial"/>
          <w:bCs/>
          <w:sz w:val="20"/>
          <w:szCs w:val="20"/>
        </w:rPr>
        <w:t>Quarter</w:t>
      </w:r>
      <w:proofErr w:type="spellEnd"/>
      <w:r w:rsidRPr="00B64F2F">
        <w:rPr>
          <w:rFonts w:asciiTheme="minorHAnsi" w:hAnsiTheme="minorHAnsi" w:cs="Arial"/>
          <w:bCs/>
          <w:sz w:val="20"/>
          <w:szCs w:val="20"/>
        </w:rPr>
        <w:t xml:space="preserve"> che approssimano al meglio i 12 mesi, rilevate sull’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Italian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Futures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| EEX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Power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Derivatives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dell’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European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Energy Exchange AG (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eeX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>)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 dal 16esimo all’ultimo giorno - compresi - del quarto mese antecedente il primo mese di fornitura) </w:t>
      </w:r>
    </w:p>
    <w:p w14:paraId="1D604E11" w14:textId="2FC6F2C5" w:rsidR="00A631BA" w:rsidRPr="00B64F2F" w:rsidRDefault="00A631BA" w:rsidP="00B64F2F">
      <w:pPr>
        <w:pStyle w:val="Paragrafoelenco"/>
        <w:numPr>
          <w:ilvl w:val="0"/>
          <w:numId w:val="45"/>
        </w:numPr>
        <w:spacing w:after="120"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al “</w:t>
      </w:r>
      <w:r w:rsidRPr="00B64F2F">
        <w:rPr>
          <w:rFonts w:asciiTheme="minorHAnsi" w:hAnsiTheme="minorHAnsi" w:cs="Arial"/>
          <w:bCs/>
          <w:sz w:val="20"/>
          <w:szCs w:val="20"/>
          <w:u w:val="single"/>
        </w:rPr>
        <w:t>Prodotto Fisso a 18 mesi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” (dato dal valore medio delle quotazioni giornaliere disponibili del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Settlement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Price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 dell’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Italian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Baseload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Quarter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Futures</w:t>
      </w:r>
      <w:proofErr w:type="spellEnd"/>
      <w:r w:rsidRPr="00B64F2F">
        <w:rPr>
          <w:rFonts w:asciiTheme="minorHAnsi" w:hAnsiTheme="minorHAnsi" w:cs="Arial"/>
          <w:bCs/>
          <w:sz w:val="20"/>
          <w:szCs w:val="20"/>
        </w:rPr>
        <w:t xml:space="preserve"> relative ai 6 </w:t>
      </w:r>
      <w:proofErr w:type="spellStart"/>
      <w:r w:rsidRPr="00B64F2F">
        <w:rPr>
          <w:rFonts w:asciiTheme="minorHAnsi" w:hAnsiTheme="minorHAnsi" w:cs="Arial"/>
          <w:bCs/>
          <w:sz w:val="20"/>
          <w:szCs w:val="20"/>
        </w:rPr>
        <w:t>Quarter</w:t>
      </w:r>
      <w:proofErr w:type="spellEnd"/>
      <w:r w:rsidRPr="00B64F2F">
        <w:rPr>
          <w:rFonts w:asciiTheme="minorHAnsi" w:hAnsiTheme="minorHAnsi" w:cs="Arial"/>
          <w:bCs/>
          <w:sz w:val="20"/>
          <w:szCs w:val="20"/>
        </w:rPr>
        <w:t xml:space="preserve"> che approssimano al meglio i 18 mesi, rilevate sull’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Italian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Futures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| EEX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Power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Derivatives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dell’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European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 xml:space="preserve"> Energy Exchange AG (</w:t>
      </w:r>
      <w:proofErr w:type="spellStart"/>
      <w:r w:rsidRPr="00B64F2F">
        <w:rPr>
          <w:rFonts w:asciiTheme="minorHAnsi" w:hAnsiTheme="minorHAnsi" w:cs="Arial"/>
          <w:bCs/>
          <w:i/>
          <w:sz w:val="20"/>
          <w:szCs w:val="20"/>
        </w:rPr>
        <w:t>eeX</w:t>
      </w:r>
      <w:proofErr w:type="spellEnd"/>
      <w:r w:rsidRPr="00B64F2F">
        <w:rPr>
          <w:rFonts w:asciiTheme="minorHAnsi" w:hAnsiTheme="minorHAnsi" w:cs="Arial"/>
          <w:bCs/>
          <w:i/>
          <w:sz w:val="20"/>
          <w:szCs w:val="20"/>
        </w:rPr>
        <w:t>)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 dal 16esimo all’ultimo giorno - compresi - del quarto mese antecedente il primo mese di fornitura)?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631BA" w14:paraId="0D1B2077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0D2397" w14:textId="77777777" w:rsidR="00A631BA" w:rsidRDefault="00A631BA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0B8917" w14:textId="77777777" w:rsidR="00A631BA" w:rsidRPr="00A631BA" w:rsidRDefault="00A631BA" w:rsidP="00A631B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9E34A3" w14:textId="72F53B44" w:rsidR="008D5686" w:rsidRPr="008D5686" w:rsidRDefault="008D5686" w:rsidP="008D5686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alle forniture a prezzo variabile e all’attuale sistema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Prezzo medio di acquisto per fasce orarie del MPE-MGP + spread</w:t>
      </w:r>
      <w:r>
        <w:rPr>
          <w:rFonts w:asciiTheme="minorHAnsi" w:hAnsiTheme="minorHAnsi" w:cs="Arial"/>
          <w:bCs/>
          <w:sz w:val="20"/>
          <w:szCs w:val="20"/>
        </w:rPr>
        <w:t xml:space="preserve"> Consip nella prossima edizione sarebbe intenzionata ad affiancare all’attuale fornitura a prezzo variabile (della durata a 12 mesi) la fornitura a prezzo variabile a 18</w:t>
      </w:r>
      <w:r w:rsidR="0089157D">
        <w:rPr>
          <w:rFonts w:asciiTheme="minorHAnsi" w:hAnsiTheme="minorHAnsi" w:cs="Arial"/>
          <w:bCs/>
          <w:sz w:val="20"/>
          <w:szCs w:val="20"/>
        </w:rPr>
        <w:t xml:space="preserve"> o a </w:t>
      </w:r>
      <w:r w:rsidR="005506C6">
        <w:rPr>
          <w:rFonts w:asciiTheme="minorHAnsi" w:hAnsiTheme="minorHAnsi" w:cs="Arial"/>
          <w:bCs/>
          <w:sz w:val="20"/>
          <w:szCs w:val="20"/>
        </w:rPr>
        <w:t>24</w:t>
      </w:r>
      <w:r>
        <w:rPr>
          <w:rFonts w:asciiTheme="minorHAnsi" w:hAnsiTheme="minorHAnsi" w:cs="Arial"/>
          <w:bCs/>
          <w:sz w:val="20"/>
          <w:szCs w:val="20"/>
        </w:rPr>
        <w:t xml:space="preserve"> mesi.</w:t>
      </w:r>
      <w:r w:rsidRPr="008D568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Cosa ne pensate e quali criticità riscontrate?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D5686" w14:paraId="075E9714" w14:textId="77777777" w:rsidTr="00E043B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DB0513" w14:textId="77777777" w:rsidR="008D5686" w:rsidRDefault="008D5686" w:rsidP="00E043B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B98C22" w14:textId="77777777" w:rsidR="008D5686" w:rsidRDefault="008D5686" w:rsidP="008D568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344516" w14:textId="4D6B7D7A" w:rsidR="00A631BA" w:rsidRDefault="00A631BA" w:rsidP="00A631BA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631BA">
        <w:rPr>
          <w:rFonts w:asciiTheme="minorHAnsi" w:hAnsiTheme="minorHAnsi" w:cs="Arial"/>
          <w:bCs/>
          <w:sz w:val="20"/>
          <w:szCs w:val="20"/>
        </w:rPr>
        <w:t>Nella precedent</w:t>
      </w:r>
      <w:r>
        <w:rPr>
          <w:rFonts w:asciiTheme="minorHAnsi" w:hAnsiTheme="minorHAnsi" w:cs="Arial"/>
          <w:bCs/>
          <w:sz w:val="20"/>
          <w:szCs w:val="20"/>
        </w:rPr>
        <w:t>e edizione “Energia Elettrica 17</w:t>
      </w:r>
      <w:r w:rsidRPr="00A631BA">
        <w:rPr>
          <w:rFonts w:asciiTheme="minorHAnsi" w:hAnsiTheme="minorHAnsi" w:cs="Arial"/>
          <w:bCs/>
          <w:sz w:val="20"/>
          <w:szCs w:val="20"/>
        </w:rPr>
        <w:t>” il fornitore era obbligato a rendere disponibile forniture a prezzo fisso per un quantitativo pari al 50% del massimale iniziale del Lotto. Per la prossima edizione è in valutazione la predisposizione di appositi Lotti con massimale a prezzo fisso e Lotti con massimale a prezzo variabile. Cosa ne pensate?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62CE" w14:paraId="084D298D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B034A7B" w14:textId="77777777" w:rsidR="009D62CE" w:rsidRDefault="009D62CE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8EDD3A" w14:textId="77777777" w:rsidR="00A631BA" w:rsidRPr="00A631BA" w:rsidRDefault="00A631BA" w:rsidP="009D62CE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66ECA9" w14:textId="39B30A76" w:rsidR="00A631BA" w:rsidRPr="009D62CE" w:rsidRDefault="00A631BA" w:rsidP="0062534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È in valutazione l’introduzione dell’obbligo per gli aggiudicatari, di offrire alle Amministrazioni contraenti un servizio di fatturazione – anche elettronica – unica/aggregata per centri di costo. Siete in possesso di un servizio del genere? Come valutate l’inserimento di un simile vincolo tecnico d’esecuzione?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62CE" w14:paraId="7CEA4B35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38177F" w14:textId="77777777" w:rsidR="009D62CE" w:rsidRDefault="009D62CE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9A3976" w14:textId="77777777" w:rsidR="00A631BA" w:rsidRPr="00A631BA" w:rsidRDefault="00A631BA" w:rsidP="009D62CE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D17D97" w14:textId="58235574" w:rsidR="00A631BA" w:rsidRDefault="00A631BA" w:rsidP="00A631BA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631BA">
        <w:rPr>
          <w:rFonts w:asciiTheme="minorHAnsi" w:hAnsiTheme="minorHAnsi" w:cs="Arial"/>
          <w:bCs/>
          <w:sz w:val="20"/>
          <w:szCs w:val="20"/>
        </w:rPr>
        <w:lastRenderedPageBreak/>
        <w:t>Con riferimento alla precedent</w:t>
      </w:r>
      <w:r>
        <w:rPr>
          <w:rFonts w:asciiTheme="minorHAnsi" w:hAnsiTheme="minorHAnsi" w:cs="Arial"/>
          <w:bCs/>
          <w:sz w:val="20"/>
          <w:szCs w:val="20"/>
        </w:rPr>
        <w:t>e edizione “Energia Elettrica 17</w:t>
      </w:r>
      <w:r w:rsidRPr="00A631BA">
        <w:rPr>
          <w:rFonts w:asciiTheme="minorHAnsi" w:hAnsiTheme="minorHAnsi" w:cs="Arial"/>
          <w:bCs/>
          <w:sz w:val="20"/>
          <w:szCs w:val="20"/>
        </w:rPr>
        <w:t>”, quali criticità riscontrate sull’attivazione e successiva gestione delle nuove connessioni, anche temporanee? Quale soluzioni proponete per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62CE" w14:paraId="306E63D4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CE6E1BA" w14:textId="77777777" w:rsidR="009D62CE" w:rsidRDefault="009D62CE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922179" w14:textId="77777777" w:rsidR="00A631BA" w:rsidRPr="00A631BA" w:rsidRDefault="00A631BA" w:rsidP="009D62CE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EFBCDC" w14:textId="3525BB17" w:rsidR="009D62CE" w:rsidRPr="009D62CE" w:rsidRDefault="009D62CE" w:rsidP="00215847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Per la prossima edizione Consip è intenzionata a prevedere espressamente la possibilità per le PA di richiedere </w:t>
      </w:r>
      <w:r>
        <w:rPr>
          <w:rFonts w:asciiTheme="minorHAnsi" w:hAnsiTheme="minorHAnsi" w:cs="Arial"/>
          <w:bCs/>
          <w:sz w:val="20"/>
          <w:szCs w:val="20"/>
        </w:rPr>
        <w:t>volture</w:t>
      </w:r>
      <w:r w:rsidR="0089157D">
        <w:rPr>
          <w:rFonts w:asciiTheme="minorHAnsi" w:hAnsiTheme="minorHAnsi" w:cs="Arial"/>
          <w:bCs/>
          <w:sz w:val="20"/>
          <w:szCs w:val="20"/>
        </w:rPr>
        <w:t xml:space="preserve"> (v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ariazione della titolarità di una fornitu</w:t>
      </w:r>
      <w:bookmarkStart w:id="0" w:name="_GoBack"/>
      <w:bookmarkEnd w:id="0"/>
      <w:r w:rsidR="0089157D" w:rsidRPr="0089157D">
        <w:rPr>
          <w:rFonts w:asciiTheme="minorHAnsi" w:hAnsiTheme="minorHAnsi" w:cs="Arial"/>
          <w:bCs/>
          <w:sz w:val="20"/>
          <w:szCs w:val="20"/>
        </w:rPr>
        <w:t>ra da un cliente ad un altro</w:t>
      </w:r>
      <w:r w:rsidR="0089157D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  <w:r w:rsidR="0089157D">
        <w:rPr>
          <w:rFonts w:asciiTheme="minorHAnsi" w:hAnsiTheme="minorHAnsi" w:cs="Arial"/>
          <w:bCs/>
          <w:sz w:val="20"/>
          <w:szCs w:val="20"/>
        </w:rPr>
        <w:t xml:space="preserve">Quali casistiche e quali 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criticità </w:t>
      </w:r>
      <w:r w:rsidR="0089157D">
        <w:rPr>
          <w:rFonts w:asciiTheme="minorHAnsi" w:hAnsiTheme="minorHAnsi" w:cs="Arial"/>
          <w:bCs/>
          <w:sz w:val="20"/>
          <w:szCs w:val="20"/>
        </w:rPr>
        <w:t>avete riscontrato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nella gestione delle</w:t>
      </w:r>
      <w:r w:rsidR="0089157D">
        <w:rPr>
          <w:rFonts w:asciiTheme="minorHAnsi" w:hAnsiTheme="minorHAnsi" w:cs="Arial"/>
          <w:bCs/>
          <w:sz w:val="20"/>
          <w:szCs w:val="20"/>
        </w:rPr>
        <w:t xml:space="preserve"> stesse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62CE" w14:paraId="4C64EF65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C533E6" w14:textId="77777777" w:rsidR="009D62CE" w:rsidRDefault="009D62CE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AE72E66" w14:textId="5313F098" w:rsidR="00636E73" w:rsidRPr="00636E73" w:rsidRDefault="00636E73" w:rsidP="00182F8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F8F177" w14:textId="0069324A" w:rsidR="00636E73" w:rsidRDefault="009D62CE" w:rsidP="009D62CE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Quali ostacoli individuate nelle forniture alla PA? Quali strumenti proponete per superarli/migliorarli?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2F85" w14:paraId="12559AD6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46E896" w14:textId="77777777" w:rsidR="00182F85" w:rsidRDefault="00182F85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BAF5C8" w14:textId="77777777" w:rsidR="00182F85" w:rsidRDefault="00182F85" w:rsidP="00182F8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B9C3B1" w14:textId="77777777" w:rsidR="009D62CE" w:rsidRPr="009D62CE" w:rsidRDefault="009D62CE" w:rsidP="00182F85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2F85" w14:paraId="0710C4FD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D135FC" w14:textId="77777777" w:rsidR="00182F85" w:rsidRDefault="00182F85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41BBB1D" w14:textId="77777777" w:rsidR="00636E73" w:rsidRDefault="00636E73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256F0CDE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304D7312" w14:textId="77777777" w:rsidR="0089157D" w:rsidRDefault="0089157D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182F85" w:rsidRDefault="00BF387E" w:rsidP="00C75B30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182F8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[Nome e Cognome]</w:t>
            </w:r>
          </w:p>
        </w:tc>
      </w:tr>
    </w:tbl>
    <w:p w14:paraId="5E044554" w14:textId="77777777" w:rsidR="00561A7D" w:rsidRDefault="00561A7D" w:rsidP="0089157D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5C70" w14:textId="77777777" w:rsidR="0044289A" w:rsidRDefault="0044289A">
      <w:r>
        <w:separator/>
      </w:r>
    </w:p>
  </w:endnote>
  <w:endnote w:type="continuationSeparator" w:id="0">
    <w:p w14:paraId="53C446FB" w14:textId="77777777" w:rsidR="0044289A" w:rsidRDefault="0044289A">
      <w:r>
        <w:continuationSeparator/>
      </w:r>
    </w:p>
  </w:endnote>
  <w:endnote w:type="continuationNotice" w:id="1">
    <w:p w14:paraId="63E6A58B" w14:textId="77777777" w:rsidR="0044289A" w:rsidRDefault="00442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0380" w14:textId="77777777" w:rsidR="00182F85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467E2EC2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584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584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467E2EC2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1584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1584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182F85">
      <w:rPr>
        <w:rFonts w:asciiTheme="minorHAnsi" w:hAnsiTheme="minorHAnsi"/>
        <w:iCs/>
        <w:color w:val="C0C0C0"/>
        <w:sz w:val="16"/>
        <w:szCs w:val="16"/>
      </w:rPr>
      <w:t xml:space="preserve">la gara per la fornitura di energia elettrica </w:t>
    </w:r>
  </w:p>
  <w:p w14:paraId="18A61727" w14:textId="4864D086" w:rsidR="006726F6" w:rsidRPr="00E06C79" w:rsidRDefault="00182F85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e dei servizi connessi per le Pubbliche Amministrazioni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3DEF44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182F85">
      <w:rPr>
        <w:rFonts w:ascii="Calibri" w:hAnsi="Calibri"/>
        <w:color w:val="808080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BE3F" w14:textId="77777777" w:rsidR="0044289A" w:rsidRDefault="0044289A">
      <w:r>
        <w:separator/>
      </w:r>
    </w:p>
  </w:footnote>
  <w:footnote w:type="continuationSeparator" w:id="0">
    <w:p w14:paraId="33796A48" w14:textId="77777777" w:rsidR="0044289A" w:rsidRDefault="0044289A">
      <w:r>
        <w:continuationSeparator/>
      </w:r>
    </w:p>
  </w:footnote>
  <w:footnote w:type="continuationNotice" w:id="1">
    <w:p w14:paraId="14BD4569" w14:textId="77777777" w:rsidR="0044289A" w:rsidRDefault="00442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FEF"/>
    <w:multiLevelType w:val="hybridMultilevel"/>
    <w:tmpl w:val="6BA2B05A"/>
    <w:lvl w:ilvl="0" w:tplc="D400BEB6">
      <w:numFmt w:val="bullet"/>
      <w:lvlText w:val="•"/>
      <w:lvlJc w:val="left"/>
      <w:pPr>
        <w:ind w:left="987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B5E76"/>
    <w:multiLevelType w:val="hybridMultilevel"/>
    <w:tmpl w:val="45CC04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5C67D6"/>
    <w:multiLevelType w:val="hybridMultilevel"/>
    <w:tmpl w:val="E9D05C0A"/>
    <w:lvl w:ilvl="0" w:tplc="D400BEB6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9"/>
  </w:num>
  <w:num w:numId="10">
    <w:abstractNumId w:val="33"/>
  </w:num>
  <w:num w:numId="11">
    <w:abstractNumId w:val="27"/>
  </w:num>
  <w:num w:numId="12">
    <w:abstractNumId w:val="25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5"/>
  </w:num>
  <w:num w:numId="19">
    <w:abstractNumId w:val="16"/>
  </w:num>
  <w:num w:numId="20">
    <w:abstractNumId w:val="38"/>
  </w:num>
  <w:num w:numId="21">
    <w:abstractNumId w:val="39"/>
  </w:num>
  <w:num w:numId="22">
    <w:abstractNumId w:val="13"/>
  </w:num>
  <w:num w:numId="23">
    <w:abstractNumId w:val="5"/>
  </w:num>
  <w:num w:numId="24">
    <w:abstractNumId w:val="40"/>
  </w:num>
  <w:num w:numId="25">
    <w:abstractNumId w:val="8"/>
  </w:num>
  <w:num w:numId="26">
    <w:abstractNumId w:val="21"/>
  </w:num>
  <w:num w:numId="27">
    <w:abstractNumId w:val="22"/>
  </w:num>
  <w:num w:numId="28">
    <w:abstractNumId w:val="6"/>
  </w:num>
  <w:num w:numId="29">
    <w:abstractNumId w:val="9"/>
  </w:num>
  <w:num w:numId="30">
    <w:abstractNumId w:val="28"/>
  </w:num>
  <w:num w:numId="31">
    <w:abstractNumId w:val="37"/>
  </w:num>
  <w:num w:numId="32">
    <w:abstractNumId w:val="35"/>
  </w:num>
  <w:num w:numId="33">
    <w:abstractNumId w:val="34"/>
  </w:num>
  <w:num w:numId="34">
    <w:abstractNumId w:val="10"/>
  </w:num>
  <w:num w:numId="35">
    <w:abstractNumId w:val="23"/>
  </w:num>
  <w:num w:numId="36">
    <w:abstractNumId w:val="24"/>
  </w:num>
  <w:num w:numId="37">
    <w:abstractNumId w:val="4"/>
  </w:num>
  <w:num w:numId="38">
    <w:abstractNumId w:val="20"/>
  </w:num>
  <w:num w:numId="39">
    <w:abstractNumId w:val="17"/>
  </w:num>
  <w:num w:numId="40">
    <w:abstractNumId w:val="36"/>
  </w:num>
  <w:num w:numId="41">
    <w:abstractNumId w:val="12"/>
  </w:num>
  <w:num w:numId="42">
    <w:abstractNumId w:val="24"/>
  </w:num>
  <w:num w:numId="43">
    <w:abstractNumId w:val="14"/>
  </w:num>
  <w:num w:numId="44">
    <w:abstractNumId w:val="1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6F9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4FB9"/>
    <w:rsid w:val="00165527"/>
    <w:rsid w:val="00170074"/>
    <w:rsid w:val="00174E83"/>
    <w:rsid w:val="00177E9E"/>
    <w:rsid w:val="00182F85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5847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77B8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4289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06C6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73"/>
    <w:rsid w:val="00636EDC"/>
    <w:rsid w:val="006451E2"/>
    <w:rsid w:val="006474D5"/>
    <w:rsid w:val="00647A9D"/>
    <w:rsid w:val="0065219B"/>
    <w:rsid w:val="006561B7"/>
    <w:rsid w:val="00656F5F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1542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157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D5686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6248"/>
    <w:rsid w:val="009D62CE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1BA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64F2F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37B89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316BA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0A66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07EC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F8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36E73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eu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633F-B6DA-449D-A1DA-60FF53E2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2020-02-25T09:54:00Z</dcterms:created>
  <dcterms:modified xsi:type="dcterms:W3CDTF">2020-02-25T13:58:00Z</dcterms:modified>
</cp:coreProperties>
</file>